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霸州市南孟镇人民政府2019年部门预算信息公开</w:t>
      </w:r>
    </w:p>
    <w:p>
      <w:pPr>
        <w:ind w:firstLine="640" w:firstLineChars="200"/>
        <w:rPr>
          <w:rFonts w:ascii="仿宋_GB2312" w:hAnsi="Times New Roman" w:eastAsia="仿宋_GB2312" w:cs="Times New Roman"/>
          <w:color w:val="000000" w:themeColor="text1"/>
          <w:sz w:val="32"/>
          <w:szCs w:val="32"/>
        </w:rPr>
      </w:pPr>
      <w:r>
        <w:rPr>
          <w:rFonts w:hint="eastAsia" w:ascii="仿宋_GB2312" w:hAnsi="Times New Roman" w:eastAsia="仿宋_GB2312" w:cs="Times New Roman"/>
          <w:sz w:val="32"/>
          <w:szCs w:val="32"/>
        </w:rPr>
        <w:t>按照《</w:t>
      </w:r>
      <w:r>
        <w:rPr>
          <w:rFonts w:hint="eastAsia" w:ascii="仿宋_GB2312" w:hAnsi="Times New Roman" w:eastAsia="仿宋_GB2312" w:cs="Times New Roman"/>
          <w:sz w:val="32"/>
          <w:szCs w:val="32"/>
          <w:lang w:eastAsia="zh-CN"/>
        </w:rPr>
        <w:t>中华人民共和国预算法</w:t>
      </w:r>
      <w:r>
        <w:rPr>
          <w:rFonts w:hint="eastAsia" w:ascii="仿宋_GB2312" w:hAnsi="Times New Roman" w:eastAsia="仿宋_GB2312" w:cs="Times New Roman"/>
          <w:sz w:val="32"/>
          <w:szCs w:val="32"/>
        </w:rPr>
        <w:t>》、《地方预决算公开操作规程》和《河北省省级预算公开办法》规定，现将</w:t>
      </w:r>
      <w:r>
        <w:rPr>
          <w:rFonts w:hint="eastAsia" w:ascii="仿宋_GB2312" w:hAnsi="Times New Roman" w:eastAsia="仿宋_GB2312" w:cs="Times New Roman"/>
          <w:color w:val="000000" w:themeColor="text1"/>
          <w:sz w:val="32"/>
          <w:szCs w:val="32"/>
        </w:rPr>
        <w:t>霸州市</w:t>
      </w:r>
      <w:r>
        <w:rPr>
          <w:rFonts w:ascii="仿宋_GB2312" w:hAnsi="Times New Roman" w:eastAsia="仿宋_GB2312" w:cs="Times New Roman"/>
          <w:color w:val="000000" w:themeColor="text1"/>
          <w:sz w:val="32"/>
          <w:szCs w:val="32"/>
        </w:rPr>
        <w:t>南孟镇人民政府</w:t>
      </w:r>
      <w:r>
        <w:rPr>
          <w:rFonts w:hint="eastAsia" w:ascii="仿宋_GB2312" w:hAnsi="Times New Roman" w:eastAsia="仿宋_GB2312" w:cs="Times New Roman"/>
          <w:color w:val="000000" w:themeColor="text1"/>
          <w:sz w:val="32"/>
          <w:szCs w:val="32"/>
        </w:rPr>
        <w:t>2019年部门预算公开如下：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镇党委、政府处于领导农</w:t>
      </w:r>
      <w:bookmarkStart w:id="3" w:name="_GoBack"/>
      <w:bookmarkEnd w:id="3"/>
      <w:r>
        <w:rPr>
          <w:rFonts w:hint="eastAsia" w:ascii="仿宋_GB2312" w:hAnsi="Times New Roman" w:eastAsia="仿宋_GB2312" w:cs="Times New Roman"/>
          <w:sz w:val="32"/>
          <w:szCs w:val="32"/>
        </w:rPr>
        <w:t>业和农村工作的第一线，承担着建设社会主义新农村的光荣使命。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两个文明</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建设，加强对全镇各项工作的统一领导，充分发挥总揽全局、协调各方的领导核心作用。</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委、镇政府工作</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一盘棋</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相互配合。同时，规范镇政府和村级组织的工作职能作用。</w:t>
      </w:r>
    </w:p>
    <w:p>
      <w:pPr>
        <w:autoSpaceDE w:val="0"/>
        <w:autoSpaceDN w:val="0"/>
        <w:adjustRightInd w:val="0"/>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委管理，主要领导干部的任免、奖惩必须征求镇党委的意见。</w:t>
      </w:r>
    </w:p>
    <w:p>
      <w:pPr>
        <w:autoSpaceDE w:val="0"/>
        <w:autoSpaceDN w:val="0"/>
        <w:adjustRightInd w:val="0"/>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pPr>
        <w:autoSpaceDE w:val="0"/>
        <w:autoSpaceDN w:val="0"/>
        <w:adjustRightInd w:val="0"/>
        <w:ind w:firstLine="640" w:firstLineChars="200"/>
        <w:jc w:val="left"/>
        <w:rPr>
          <w:rFonts w:ascii="仿宋_GB2312" w:hAnsi="Times New Roman" w:eastAsia="仿宋_GB2312" w:cs="Times New Roman"/>
          <w:sz w:val="32"/>
          <w:szCs w:val="32"/>
        </w:rPr>
      </w:pPr>
      <w:r>
        <w:rPr>
          <w:rFonts w:hint="eastAsia" w:ascii="仿宋_GB2312" w:hAnsi="Times New Roman" w:eastAsia="仿宋_GB2312" w:cs="Times New Roman"/>
          <w:sz w:val="32"/>
          <w:szCs w:val="32"/>
        </w:rPr>
        <w:t>通过乡镇机构改革，切实减轻农村负担，让广大农民感到满意，得到实惠。</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霸州市南孟镇</w:t>
            </w:r>
            <w:r>
              <w:rPr>
                <w:rFonts w:ascii="Times New Roman" w:hAnsi="Times New Roman" w:eastAsia="方正书宋_GBK" w:cs="Times New Roman"/>
                <w:szCs w:val="24"/>
              </w:rPr>
              <w:t>人民政府</w:t>
            </w:r>
          </w:p>
        </w:tc>
        <w:tc>
          <w:tcPr>
            <w:tcW w:w="186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行政</w:t>
            </w:r>
          </w:p>
        </w:tc>
        <w:tc>
          <w:tcPr>
            <w:tcW w:w="1536"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正科级</w:t>
            </w:r>
          </w:p>
        </w:tc>
        <w:tc>
          <w:tcPr>
            <w:tcW w:w="2642" w:type="dxa"/>
            <w:shd w:val="clear" w:color="auto" w:fill="auto"/>
            <w:vAlign w:val="center"/>
          </w:tcPr>
          <w:p>
            <w:pPr>
              <w:spacing w:line="300" w:lineRule="exact"/>
              <w:jc w:val="center"/>
              <w:rPr>
                <w:rFonts w:ascii="Times New Roman" w:hAnsi="Times New Roman" w:eastAsia="方正书宋_GBK" w:cs="Times New Roman"/>
                <w:szCs w:val="24"/>
              </w:rPr>
            </w:pPr>
            <w:r>
              <w:rPr>
                <w:rFonts w:hint="eastAsia" w:ascii="Times New Roman" w:hAnsi="Times New Roman" w:eastAsia="方正书宋_GBK" w:cs="Times New Roman"/>
                <w:szCs w:val="24"/>
              </w:rPr>
              <w:t>财政</w:t>
            </w:r>
            <w:r>
              <w:rPr>
                <w:rFonts w:ascii="Times New Roman" w:hAnsi="Times New Roman" w:eastAsia="方正书宋_GBK" w:cs="Times New Roman"/>
                <w:szCs w:val="24"/>
              </w:rPr>
              <w:t>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反映本部门当年全部收入。2019年预算收入2149.31万元，其中：一般公共预算收入1947.73万元，政府性基金预算收入201.58</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事业收入0万元，经营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收支预算总表支出栏、基本支出表、项目支出表按经济分类和支出功能分类科目编制，反映霸州市南孟镇</w:t>
      </w:r>
      <w:r>
        <w:rPr>
          <w:rFonts w:ascii="仿宋_GB2312" w:hAnsi="Times New Roman" w:eastAsia="仿宋_GB2312" w:cs="Times New Roman"/>
          <w:sz w:val="32"/>
          <w:szCs w:val="32"/>
        </w:rPr>
        <w:t>人民</w:t>
      </w:r>
      <w:r>
        <w:rPr>
          <w:rFonts w:hint="eastAsia" w:ascii="仿宋_GB2312" w:hAnsi="Times New Roman" w:eastAsia="仿宋_GB2312" w:cs="Times New Roman"/>
          <w:sz w:val="32"/>
          <w:szCs w:val="32"/>
        </w:rPr>
        <w:t>政府2019年度部门预算中支出预算的总体情况。2019年本部门支出预算2</w:t>
      </w:r>
      <w:r>
        <w:rPr>
          <w:rFonts w:ascii="仿宋_GB2312" w:hAnsi="Times New Roman" w:eastAsia="仿宋_GB2312" w:cs="Times New Roman"/>
          <w:sz w:val="32"/>
          <w:szCs w:val="32"/>
        </w:rPr>
        <w:t>149.31</w:t>
      </w:r>
      <w:r>
        <w:rPr>
          <w:rFonts w:hint="eastAsia" w:ascii="仿宋_GB2312" w:hAnsi="Times New Roman" w:eastAsia="仿宋_GB2312" w:cs="Times New Roman"/>
          <w:sz w:val="32"/>
          <w:szCs w:val="32"/>
        </w:rPr>
        <w:t>万元，其中：基本支出1</w:t>
      </w:r>
      <w:r>
        <w:rPr>
          <w:rFonts w:ascii="仿宋_GB2312" w:hAnsi="Times New Roman" w:eastAsia="仿宋_GB2312" w:cs="Times New Roman"/>
          <w:sz w:val="32"/>
          <w:szCs w:val="32"/>
        </w:rPr>
        <w:t>636.91</w:t>
      </w:r>
      <w:r>
        <w:rPr>
          <w:rFonts w:hint="eastAsia" w:ascii="仿宋_GB2312" w:hAnsi="Times New Roman" w:eastAsia="仿宋_GB2312" w:cs="Times New Roman"/>
          <w:sz w:val="32"/>
          <w:szCs w:val="32"/>
        </w:rPr>
        <w:t>万元，包括：人员经费1</w:t>
      </w:r>
      <w:r>
        <w:rPr>
          <w:rFonts w:ascii="仿宋_GB2312" w:hAnsi="Times New Roman" w:eastAsia="仿宋_GB2312" w:cs="Times New Roman"/>
          <w:sz w:val="32"/>
          <w:szCs w:val="32"/>
        </w:rPr>
        <w:t>468.30万元</w:t>
      </w:r>
      <w:r>
        <w:rPr>
          <w:rFonts w:hint="eastAsia" w:ascii="仿宋_GB2312" w:hAnsi="Times New Roman" w:eastAsia="仿宋_GB2312" w:cs="Times New Roman"/>
          <w:sz w:val="32"/>
          <w:szCs w:val="32"/>
        </w:rPr>
        <w:t>和日常公用经费1</w:t>
      </w:r>
      <w:r>
        <w:rPr>
          <w:rFonts w:ascii="仿宋_GB2312" w:hAnsi="Times New Roman" w:eastAsia="仿宋_GB2312" w:cs="Times New Roman"/>
          <w:sz w:val="32"/>
          <w:szCs w:val="32"/>
        </w:rPr>
        <w:t>68.61万元</w:t>
      </w:r>
      <w:r>
        <w:rPr>
          <w:rFonts w:hint="eastAsia" w:ascii="仿宋_GB2312" w:hAnsi="Times New Roman" w:eastAsia="仿宋_GB2312" w:cs="Times New Roman"/>
          <w:sz w:val="32"/>
          <w:szCs w:val="32"/>
        </w:rPr>
        <w:t>；项目支出512.40万元，全部为本级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ascii="仿宋_GB2312" w:hAnsi="Times New Roman" w:eastAsia="仿宋_GB2312" w:cs="Times New Roman"/>
          <w:sz w:val="32"/>
          <w:szCs w:val="32"/>
        </w:rPr>
        <w:t>信访维稳</w:t>
      </w:r>
      <w:r>
        <w:rPr>
          <w:rFonts w:hint="eastAsia" w:ascii="仿宋_GB2312" w:hAnsi="Times New Roman" w:eastAsia="仿宋_GB2312" w:cs="Times New Roman"/>
          <w:sz w:val="32"/>
          <w:szCs w:val="32"/>
        </w:rPr>
        <w:t>支出</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文化支出</w:t>
      </w:r>
      <w:r>
        <w:rPr>
          <w:rFonts w:ascii="仿宋_GB2312" w:hAnsi="Times New Roman" w:eastAsia="仿宋_GB2312" w:cs="Times New Roman"/>
          <w:sz w:val="32"/>
          <w:szCs w:val="32"/>
        </w:rPr>
        <w:t>、社会保障支出</w:t>
      </w:r>
      <w:r>
        <w:rPr>
          <w:rFonts w:hint="eastAsia" w:ascii="仿宋_GB2312" w:hAnsi="Times New Roman" w:eastAsia="仿宋_GB2312" w:cs="Times New Roman"/>
          <w:sz w:val="32"/>
          <w:szCs w:val="32"/>
        </w:rPr>
        <w:t>、节能</w:t>
      </w:r>
      <w:r>
        <w:rPr>
          <w:rFonts w:ascii="仿宋_GB2312" w:hAnsi="Times New Roman" w:eastAsia="仿宋_GB2312" w:cs="Times New Roman"/>
          <w:sz w:val="32"/>
          <w:szCs w:val="32"/>
        </w:rPr>
        <w:t>环保</w:t>
      </w:r>
      <w:r>
        <w:rPr>
          <w:rFonts w:hint="eastAsia" w:ascii="仿宋_GB2312" w:hAnsi="Times New Roman" w:eastAsia="仿宋_GB2312" w:cs="Times New Roman"/>
          <w:sz w:val="32"/>
          <w:szCs w:val="32"/>
        </w:rPr>
        <w:t>支出</w:t>
      </w:r>
      <w:r>
        <w:rPr>
          <w:rFonts w:ascii="仿宋_GB2312" w:hAnsi="Times New Roman" w:eastAsia="仿宋_GB2312" w:cs="Times New Roman"/>
          <w:sz w:val="32"/>
          <w:szCs w:val="32"/>
        </w:rPr>
        <w:t>等</w:t>
      </w:r>
      <w:r>
        <w:rPr>
          <w:rFonts w:hint="eastAsia" w:ascii="仿宋_GB2312" w:hAnsi="Times New Roman" w:eastAsia="仿宋_GB2312" w:cs="Times New Roman"/>
          <w:sz w:val="32"/>
          <w:szCs w:val="32"/>
        </w:rPr>
        <w:t>；上缴上级支出0万元，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2019年预算收支安排2</w:t>
      </w:r>
      <w:r>
        <w:rPr>
          <w:rFonts w:ascii="仿宋_GB2312" w:hAnsi="Times New Roman" w:eastAsia="仿宋_GB2312" w:cs="Times New Roman"/>
          <w:color w:val="000000" w:themeColor="text1"/>
          <w:sz w:val="32"/>
          <w:szCs w:val="32"/>
        </w:rPr>
        <w:t>149.31</w:t>
      </w:r>
      <w:r>
        <w:rPr>
          <w:rFonts w:hint="eastAsia" w:ascii="仿宋_GB2312" w:hAnsi="Times New Roman" w:eastAsia="仿宋_GB2312" w:cs="Times New Roman"/>
          <w:color w:val="000000" w:themeColor="text1"/>
          <w:sz w:val="32"/>
          <w:szCs w:val="32"/>
        </w:rPr>
        <w:t>万元，较2018年预算减少310.59万元，其中：基本支出增加</w:t>
      </w:r>
      <w:r>
        <w:rPr>
          <w:rFonts w:ascii="仿宋_GB2312" w:hAnsi="Times New Roman" w:eastAsia="仿宋_GB2312" w:cs="Times New Roman"/>
          <w:color w:val="000000" w:themeColor="text1"/>
          <w:sz w:val="32"/>
          <w:szCs w:val="32"/>
        </w:rPr>
        <w:t>208.29</w:t>
      </w:r>
      <w:r>
        <w:rPr>
          <w:rFonts w:hint="eastAsia" w:ascii="仿宋_GB2312" w:hAnsi="Times New Roman" w:eastAsia="仿宋_GB2312" w:cs="Times New Roman"/>
          <w:color w:val="000000" w:themeColor="text1"/>
          <w:sz w:val="32"/>
          <w:szCs w:val="32"/>
        </w:rPr>
        <w:t>万元，主要为增加人员</w:t>
      </w:r>
      <w:r>
        <w:rPr>
          <w:rFonts w:ascii="仿宋_GB2312" w:hAnsi="Times New Roman" w:eastAsia="仿宋_GB2312" w:cs="Times New Roman"/>
          <w:color w:val="000000" w:themeColor="text1"/>
          <w:sz w:val="32"/>
          <w:szCs w:val="32"/>
        </w:rPr>
        <w:t>经费</w:t>
      </w:r>
      <w:r>
        <w:rPr>
          <w:rFonts w:hint="eastAsia" w:ascii="仿宋_GB2312" w:hAnsi="Times New Roman" w:eastAsia="仿宋_GB2312" w:cs="Times New Roman"/>
          <w:color w:val="000000" w:themeColor="text1"/>
          <w:sz w:val="32"/>
          <w:szCs w:val="32"/>
        </w:rPr>
        <w:t>支出；项目支出减少518.88万元，主要为减少城乡</w:t>
      </w:r>
      <w:r>
        <w:rPr>
          <w:rFonts w:ascii="仿宋_GB2312" w:hAnsi="Times New Roman" w:eastAsia="仿宋_GB2312" w:cs="Times New Roman"/>
          <w:color w:val="000000" w:themeColor="text1"/>
          <w:sz w:val="32"/>
          <w:szCs w:val="32"/>
        </w:rPr>
        <w:t>社区</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机关运行经费共计安排1</w:t>
      </w:r>
      <w:r>
        <w:rPr>
          <w:rFonts w:ascii="仿宋_GB2312" w:hAnsi="Times New Roman" w:eastAsia="仿宋_GB2312" w:cs="Times New Roman"/>
          <w:sz w:val="32"/>
          <w:szCs w:val="32"/>
        </w:rPr>
        <w:t>68.61</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万元，主要用于办公区的日常维修、办公用房水电费、办公用房取暖费、办公及印刷费，邮电费、差旅费、会议费、福利费、专用材料费</w:t>
      </w:r>
      <w:r>
        <w:rPr>
          <w:rFonts w:ascii="仿宋_GB2312" w:hAnsi="Times New Roman" w:eastAsia="仿宋_GB2312" w:cs="Times New Roman"/>
          <w:sz w:val="32"/>
          <w:szCs w:val="32"/>
        </w:rPr>
        <w:t>、</w:t>
      </w:r>
      <w:r>
        <w:rPr>
          <w:rFonts w:hint="eastAsia" w:ascii="仿宋_GB2312" w:hAnsi="Times New Roman" w:eastAsia="仿宋_GB2312" w:cs="Times New Roman"/>
          <w:sz w:val="32"/>
          <w:szCs w:val="32"/>
        </w:rPr>
        <w:t>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2019年，我部门“三公”经费预算安排8</w:t>
      </w:r>
      <w:r>
        <w:rPr>
          <w:rFonts w:ascii="仿宋_GB2312" w:hAnsi="Times New Roman" w:eastAsia="仿宋_GB2312" w:cs="Times New Roman"/>
          <w:sz w:val="32"/>
          <w:szCs w:val="32"/>
        </w:rPr>
        <w:t>.84</w:t>
      </w:r>
      <w:r>
        <w:rPr>
          <w:rFonts w:hint="eastAsia" w:ascii="仿宋_GB2312" w:hAnsi="Times New Roman" w:eastAsia="仿宋_GB2312" w:cs="Times New Roman"/>
          <w:sz w:val="32"/>
          <w:szCs w:val="32"/>
        </w:rPr>
        <w:t>万元，其中：因公出国（境）费0万元；公务用车购置及运维费7</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万元（其中：公务用车购置费0万元，公务用车运行维护费7</w:t>
      </w: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万元)；公务接待费1</w:t>
      </w:r>
      <w:r>
        <w:rPr>
          <w:rFonts w:ascii="仿宋_GB2312" w:hAnsi="Times New Roman" w:eastAsia="仿宋_GB2312" w:cs="Times New Roman"/>
          <w:sz w:val="32"/>
          <w:szCs w:val="32"/>
        </w:rPr>
        <w:t>.34</w:t>
      </w:r>
      <w:r>
        <w:rPr>
          <w:rFonts w:hint="eastAsia" w:ascii="仿宋_GB2312" w:hAnsi="Times New Roman" w:eastAsia="仿宋_GB2312" w:cs="Times New Roman"/>
          <w:sz w:val="32"/>
          <w:szCs w:val="32"/>
        </w:rPr>
        <w:t>万元，较2018年“三公”经费减少0.06万元，</w:t>
      </w:r>
      <w:r>
        <w:rPr>
          <w:rFonts w:hint="eastAsia" w:ascii="仿宋" w:hAnsi="仿宋" w:eastAsia="仿宋" w:cs="仿宋"/>
          <w:sz w:val="32"/>
          <w:szCs w:val="32"/>
        </w:rPr>
        <w:t>主要是因为因公出国（境）费与2018年持平，无增减变化；公务用车购置费与2018年持平，无增减变化；公务用车运行维护费与2018年持平，无增减变化；公务接待费减少0.06万元，</w:t>
      </w:r>
      <w:r>
        <w:rPr>
          <w:rFonts w:hint="eastAsia" w:ascii="仿宋_GB2312" w:hAnsi="Times New Roman" w:eastAsia="仿宋_GB2312" w:cs="Times New Roman"/>
          <w:sz w:val="32"/>
          <w:szCs w:val="32"/>
        </w:rPr>
        <w:t>减少</w:t>
      </w:r>
      <w:r>
        <w:rPr>
          <w:rFonts w:ascii="仿宋_GB2312" w:hAnsi="Times New Roman" w:eastAsia="仿宋_GB2312" w:cs="Times New Roman"/>
          <w:sz w:val="32"/>
          <w:szCs w:val="32"/>
        </w:rPr>
        <w:t>原因</w:t>
      </w:r>
      <w:r>
        <w:rPr>
          <w:rFonts w:hint="eastAsia" w:ascii="仿宋_GB2312" w:hAnsi="Times New Roman" w:eastAsia="仿宋_GB2312" w:cs="Times New Roman"/>
          <w:sz w:val="32"/>
          <w:szCs w:val="32"/>
        </w:rPr>
        <w:t>为人员调出导致</w:t>
      </w:r>
      <w:r>
        <w:rPr>
          <w:rFonts w:ascii="仿宋_GB2312" w:hAnsi="Times New Roman" w:eastAsia="仿宋_GB2312" w:cs="Times New Roman"/>
          <w:sz w:val="32"/>
          <w:szCs w:val="32"/>
        </w:rPr>
        <w:t>预算数据减</w:t>
      </w:r>
      <w:r>
        <w:rPr>
          <w:rFonts w:hint="eastAsia" w:ascii="仿宋_GB2312" w:hAnsi="Times New Roman" w:eastAsia="仿宋_GB2312" w:cs="Times New Roman"/>
          <w:sz w:val="32"/>
          <w:szCs w:val="32"/>
        </w:rPr>
        <w:t>少。</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五、绩效预算信息</w:t>
      </w:r>
    </w:p>
    <w:p>
      <w:pPr>
        <w:ind w:firstLine="643" w:firstLineChars="200"/>
        <w:jc w:val="left"/>
        <w:rPr>
          <w:rFonts w:ascii="楷体_GB2312" w:hAnsi="Times New Roman" w:eastAsia="楷体_GB2312" w:cs="Times New Roman"/>
          <w:b/>
          <w:sz w:val="32"/>
          <w:szCs w:val="32"/>
        </w:rPr>
      </w:pPr>
      <w:bookmarkStart w:id="1" w:name="_Toc471398463"/>
      <w:r>
        <w:rPr>
          <w:rFonts w:hint="eastAsia" w:ascii="楷体_GB2312" w:hAnsi="Times New Roman" w:eastAsia="楷体_GB2312" w:cs="Times New Roman"/>
          <w:b/>
          <w:sz w:val="32"/>
          <w:szCs w:val="32"/>
        </w:rPr>
        <w:t>总体绩效目标：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南孟镇政府的根本任务是贯彻落实党和国家在农村的各项方针政策和法律法规，做好农业、农村、农民工作。根据中央的要求，现阶段乡镇应主要围绕促进经济发展、增加农民收入，强化公共服务、着力改善民生，加强社会管理、维护农村稳定，推进基层民主、促进农村和谐四个方面全面履行职能。</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经济发展方面，要把经济工作的主力点方针营造良好的发展环境、扶持典型进行示范引导上来，做好乡村发展规划，推动产业结构调整，提高经济发展的质量和水平；在强化公共服务方面，进一步加强农村基础设施建设和新型农村服务体系建设，落实强农惠农政策措施，着力解决群众生产生活的突出问题，切实维护农民的合法权益。</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在加强社会管理方面，推进依法履行职责，综合发挥人民调解、行政调解和司法调解的作用，及时化解农村社会矛盾，确保社会稳定；在推进基层民主方面，主要是指导村民自治，推动农村社区建设，促进社会组织健康发展，增强社会自治功能。</w:t>
      </w:r>
    </w:p>
    <w:p>
      <w:pPr>
        <w:ind w:firstLine="643" w:firstLineChars="200"/>
        <w:jc w:val="left"/>
        <w:outlineLvl w:val="0"/>
        <w:rPr>
          <w:rFonts w:ascii="楷体_GB2312" w:hAnsi="Times New Roman" w:eastAsia="楷体_GB2312" w:cs="Times New Roman"/>
          <w:b/>
          <w:sz w:val="32"/>
          <w:szCs w:val="24"/>
        </w:rPr>
      </w:pPr>
      <w:r>
        <w:rPr>
          <w:rFonts w:hint="eastAsia" w:ascii="楷体_GB2312" w:hAnsi="黑体" w:eastAsia="楷体_GB2312" w:cs="Times New Roman"/>
          <w:b/>
          <w:sz w:val="32"/>
          <w:szCs w:val="32"/>
        </w:rPr>
        <w:t>部门职责及工作活动绩效目标指标：</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部门职责-工作活动绩效目标</w:t>
      </w:r>
      <w:bookmarkEnd w:id="1"/>
    </w:p>
    <w:tbl>
      <w:tblPr>
        <w:tblStyle w:val="7"/>
        <w:tblW w:w="1393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42"/>
        <w:gridCol w:w="1276"/>
        <w:gridCol w:w="2976"/>
        <w:gridCol w:w="2976"/>
        <w:gridCol w:w="1417"/>
        <w:gridCol w:w="737"/>
        <w:gridCol w:w="737"/>
        <w:gridCol w:w="737"/>
        <w:gridCol w:w="7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10987" w:type="dxa"/>
            <w:gridSpan w:val="5"/>
            <w:tcBorders>
              <w:top w:val="single" w:color="FFFFFF" w:sz="6" w:space="0"/>
              <w:left w:val="single" w:color="FFFFFF" w:sz="6" w:space="0"/>
              <w:bottom w:val="single" w:color="000000" w:sz="6" w:space="0"/>
              <w:right w:val="single" w:color="FFFFFF" w:sz="6" w:space="0"/>
            </w:tcBorders>
            <w:vAlign w:val="center"/>
          </w:tcPr>
          <w:p>
            <w:pPr>
              <w:rPr>
                <w:rFonts w:ascii="方正小标宋_GBK" w:hAnsi="Times New Roman" w:eastAsia="方正小标宋_GBK" w:cs="Times New Roman"/>
                <w:sz w:val="18"/>
                <w:szCs w:val="18"/>
              </w:rPr>
            </w:pPr>
            <w:r>
              <w:rPr>
                <w:rFonts w:hint="eastAsia" w:ascii="仿宋_GB2312" w:hAnsi="Times New Roman" w:eastAsia="仿宋_GB2312" w:cs="Times New Roman"/>
                <w:szCs w:val="21"/>
              </w:rPr>
              <w:t>954霸州市南孟镇人民</w:t>
            </w:r>
            <w:r>
              <w:rPr>
                <w:rFonts w:ascii="仿宋_GB2312" w:hAnsi="Times New Roman" w:eastAsia="仿宋_GB2312" w:cs="Times New Roman"/>
                <w:szCs w:val="21"/>
              </w:rPr>
              <w:t>政府</w:t>
            </w:r>
          </w:p>
        </w:tc>
        <w:tc>
          <w:tcPr>
            <w:tcW w:w="2948" w:type="dxa"/>
            <w:gridSpan w:val="4"/>
            <w:tcBorders>
              <w:top w:val="single" w:color="FFFFFF" w:sz="6" w:space="0"/>
              <w:left w:val="single" w:color="FFFFFF" w:sz="6" w:space="0"/>
              <w:bottom w:val="single" w:color="000000" w:sz="6" w:space="0"/>
              <w:right w:val="single" w:color="FFFFFF" w:sz="6" w:space="0"/>
            </w:tcBorders>
            <w:vAlign w:val="center"/>
          </w:tcPr>
          <w:p>
            <w:pPr>
              <w:ind w:firstLine="1680"/>
              <w:rPr>
                <w:rFonts w:ascii="仿宋_GB2312" w:hAnsi="Times New Roman" w:eastAsia="仿宋_GB2312" w:cs="Times New Roman"/>
                <w:szCs w:val="21"/>
              </w:rPr>
            </w:pPr>
            <w:r>
              <w:rPr>
                <w:rFonts w:hint="eastAsia" w:ascii="仿宋_GB2312" w:hAnsi="Times New Roman" w:eastAsia="仿宋_GB2312" w:cs="Times New Roman"/>
                <w:szCs w:val="21"/>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2"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职责活动</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年度预算数</w:t>
            </w:r>
          </w:p>
        </w:tc>
        <w:tc>
          <w:tcPr>
            <w:tcW w:w="2976"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内容描述</w:t>
            </w:r>
          </w:p>
        </w:tc>
        <w:tc>
          <w:tcPr>
            <w:tcW w:w="2976"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绩效目标</w:t>
            </w:r>
          </w:p>
        </w:tc>
        <w:tc>
          <w:tcPr>
            <w:tcW w:w="1417"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绩效指标</w:t>
            </w:r>
          </w:p>
        </w:tc>
        <w:tc>
          <w:tcPr>
            <w:tcW w:w="2948" w:type="dxa"/>
            <w:gridSpan w:val="4"/>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tblHeader/>
          <w:jc w:val="center"/>
        </w:trPr>
        <w:tc>
          <w:tcPr>
            <w:tcW w:w="2342"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2976"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2976"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1417"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优</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良</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中</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综合业务、事务管理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20.19</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紧紧围绕镇政府中心工作，积极协调镇领导谋大事，解难事，不断提高参政水平，努力为领导提供服务层次和优质服务。</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以服务领导和机关保障有力为目标，增强优质后勤管理水平，通过加强公车管理，降低运行成本，为创建节约型机关打下了良好的基础。采取保障镇政府领导和机关工作办公环境的措施，提升服务管理水平，保障镇领导和机关工作的正常运转。及时了解国内外形势、党和国家的方针政策以及上级重要部署和要求，及时为老干部提供优质高效服务。</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综合业务、事务管理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20.19</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协助镇政府领导组织起草或审核以镇政府、镇政府办公室名义发布的公文；办理镇政府各部门和镇镇报送的文电；对镇政府部门间出现的争议问题提出处理意见；组织起草镇政府领导重要讲话及其他重要文稿；组织专题调研；承办镇政府领导交办的其他事项。</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采取保障镇政府领导和机关工作办公环境的措施，提升了服务管理水平，保障了镇领导和机关工作的正常运转。</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各项综合业务管理工作完成率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信访问题处理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负责正常信访、非访、突发性及群体性事件的办理；提供相关服务保障；协助上级信访局处理越级上访；信访事项督查、复查复核、听证；负责镇委镇政府交办的其他事项。</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畅通信访渠道，减少信访案件，维护社会和谐稳定。</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信访事务管理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28.55</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调研提出信访工作对策建议；督促检查和指导全镇信访工作；机关日常工作。</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进一步提高信访干部业务能力；吸收可行建议，改进信访工作；提高信访信息化应用水平，实现办公自动化、网络化智能化。保障机要邮件正常传递和信访群众服务中心正常运转；确保会议正常召开。</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其他综合事务管理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28.55</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调研提出信访工作对策建议；督促检查和指导全镇信访工作；信息化建设与运维管理；机要邮件正常传递；负责局机关行政后勤、资产、物业管理。</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进一步提高信访干部业务能力；吸收可行建议，改进信访工作；提高信访信息化应用水平。保障机要邮件正常传递和信访群众服务中心正常运转；确保会议正常召开。</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其他各项综合实务工作完成率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文化艺术管理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5.01</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管理和指导全镇文化建设，推进文化发展环境能力建设，提供公共文化服务、文化艺术资源建设和文化艺术生产。</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文化发展环境健康向上，文化发展能力不断增强，文化艺术资源丰富，公共文化服务和文化艺术生产水平不断提高。</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公共文化服务</w:t>
            </w:r>
          </w:p>
        </w:tc>
        <w:tc>
          <w:tcPr>
            <w:tcW w:w="1276"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5.01</w:t>
            </w:r>
          </w:p>
        </w:tc>
        <w:tc>
          <w:tcPr>
            <w:tcW w:w="2976"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规划、推动全镇各级文化服务机构、设施和队伍建设，创新公共文化服务模式，建立公共文化资源共享机制，健全公共文化服务网络。组织指导公共文化产品生产，提供文化服务</w:t>
            </w:r>
          </w:p>
        </w:tc>
        <w:tc>
          <w:tcPr>
            <w:tcW w:w="2976" w:type="dxa"/>
            <w:vMerge w:val="restart"/>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公共文化设施达标，机构和队伍健全，实现公共文化资源共享，形成城镇一体公共文化服务网络；公共文化产品生产和服务能力提高，基本公共文化服务标准化、均等化水平不断提高。</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公共文化服务活动数量（场次）</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≥12</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≥6</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1276"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2976"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2976" w:type="dxa"/>
            <w:vMerge w:val="continue"/>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141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公共文化场馆免费率</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≥80%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≥70%</w:t>
            </w:r>
          </w:p>
        </w:tc>
        <w:tc>
          <w:tcPr>
            <w:tcW w:w="737" w:type="dxa"/>
            <w:tcBorders>
              <w:top w:val="single" w:color="000000" w:sz="6" w:space="0"/>
              <w:left w:val="single" w:color="000000" w:sz="6" w:space="0"/>
              <w:bottom w:val="single" w:color="000000" w:sz="6" w:space="0"/>
              <w:right w:val="single" w:color="000000" w:sz="6" w:space="0"/>
            </w:tcBorders>
            <w:vAlign w:val="center"/>
          </w:tcPr>
          <w:p>
            <w:pPr>
              <w:spacing w:line="300" w:lineRule="exact"/>
              <w:rPr>
                <w:rFonts w:ascii="仿宋_GB2312" w:hAnsi="Times New Roman" w:eastAsia="仿宋_GB2312" w:cs="Times New Roman"/>
                <w:szCs w:val="21"/>
              </w:rPr>
            </w:pPr>
            <w:r>
              <w:rPr>
                <w:rFonts w:hint="eastAsia" w:ascii="仿宋_GB2312" w:hAnsi="Times New Roman" w:eastAsia="仿宋_GB2312" w:cs="Times New Roman"/>
                <w:szCs w:val="21"/>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社会救助、救灾管理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70.16</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负责城镇居民最低生活保障、五保供养、医疗救助。组织协调全镇防灾减灾救灾工作。组织核查并统一发布灾情。组织指导救灾捐赠工作，负责国内外救灾捐赠款物的接收管理和分配使用。</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完善城镇社会救助制度，实施分类救助，应保尽保,动态管理。完善全镇自然灾害救助应急体系。实施分类救助，保障受灾群众基本生活。</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困难群众基本生活保障</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70.16</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负责符合条件的城镇居民最低生活保障、五保户的集中供养和分散供养、临时生活救助工作、全镇城镇低收入家庭收入核定管理工作、保障孤儿基本生活，加强流浪乞讨人员救助管理，做好留守老人、妇女、儿童和残疾人护理保障工作。保障孤儿基本生活，组织开展全镇孤残儿童手术康复，推进儿童福利机构基础设施建设。加快流浪乞讨人员、流浪未成年人救助场所的设施建设。开展未成年人社会保护试点工作。</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实行动态管理，做到应保尽保、应退尽退。农村五保供养标准、集中供养能力逐步提高。缓解意外事件对特殊困难家庭造成的生活困难。准确核查认定低保家庭经济状况。孤儿基本生活条件保障到位，孤残儿童手术康复及时，儿童福利设施功能完善。流浪乞讨人员、流浪未成年人救助设施齐全、功能完善，对申请救助且符合救助条件的人员全部实施救助。对未成年人社会保护提供必要的保护场所、精神慰藉、心理辅导。</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城镇居民低保保障率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城镇建设管理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257.58</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负责市政公用设施建设、安全和应急管理；负责农村住房建设、住房安全和危房改造；改善小城镇和村庄人居环境。</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加强管理，提高城市承载能力和宜居度。加强村镇建设，改善农村人居环境，实现城镇统筹发展。</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城市容貌环境综合整治</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204.58</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负责城区市容环境治理、城建监察等各项工作，改善人居环境，大气污染治理。</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推进洁净城市创建进程，加强大气污染治理力度。</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市容环境治理完成率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城市容貌环境综合整治</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53.00</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负责城区市容环境治理、城建监察等各项工作，改善人居环境，大气污染治理。</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推进洁净城市创建进程，加强大气污染治理力度。</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机械化清扫率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≥57%</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≥55%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≥53%</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环保政务管理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39.91</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负责环境保护系统综合业务管理和机关综合事务管理。</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加强环保保护管理工作。</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综合业务管理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拟定并组织实施全镇年度环境保护地方环境标准、技术规范。加强污染治理技术研究及推广、排污费征收管理及环保专项资金使用。完善环保公共服务体系，加强环保创新能力，加大重点实验室及环境监测、监察的建设力度。</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完成全镇环境保护各项工作任务。保障各项业务工作畅通。</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各项综合业务管理工作完成率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综合事务管理</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39.91</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加强排污费征收管理及环保专项资金使用；加强调查研究，提高管理意识及业务能力。</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完成全镇环境保护各项工作任务。保障机关正常工作高效运转。</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各项综合事务管理工作完成率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农林水支出</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91.00</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农村综合改革</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对村民委员会和村党支部的补助</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村级办公经费</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91.00</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组织全镇地方税费收入，加强经济形势跟踪分析和部门协调配合，发挥社会参与作用，组织相关协税护税单位和个人协助征收，提高征管效率和质量；落实组织收入原则，依法征税，提高收入质量，实现应收尽收。开展纳税评估和税收调查工作，运用数据信息对比分析等方法，了解全镇税源状况，科学预测税收发展趋势，剖析税收薄弱环节，提出征管建议，实现堵漏增收。</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完成税收收入调整任务。（收入任务按经济、政策变化进行调整）提高纳税人满意度，建立和谐征纳关系。运用第三方涉税信息开展风险分析、风险排序、风险应对与反馈等工作，防范涉税风险，实现堵漏增收。</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村级办公经费计划完成率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227" w:hRule="atLeast"/>
          <w:jc w:val="center"/>
        </w:trPr>
        <w:tc>
          <w:tcPr>
            <w:tcW w:w="2342"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农村基层奖励</w:t>
            </w:r>
          </w:p>
        </w:tc>
        <w:tc>
          <w:tcPr>
            <w:tcW w:w="12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推进新农村建设，打造一批符合全面小康要求的新型农村社区和美丽乡村。</w:t>
            </w:r>
          </w:p>
        </w:tc>
        <w:tc>
          <w:tcPr>
            <w:tcW w:w="2976"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实际发放的补助金金额占计划发放金额的比率，提升服务社会能力。</w:t>
            </w:r>
          </w:p>
        </w:tc>
        <w:tc>
          <w:tcPr>
            <w:tcW w:w="141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补助资金发放率</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≥95%</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≥90%</w:t>
            </w:r>
          </w:p>
        </w:tc>
        <w:tc>
          <w:tcPr>
            <w:tcW w:w="737" w:type="dxa"/>
            <w:tcBorders>
              <w:top w:val="single" w:color="000000" w:sz="6" w:space="0"/>
              <w:left w:val="single" w:color="000000" w:sz="6" w:space="0"/>
              <w:bottom w:val="single" w:color="000000" w:sz="6" w:space="0"/>
              <w:right w:val="single" w:color="000000" w:sz="6" w:space="0"/>
            </w:tcBorders>
            <w:vAlign w:val="center"/>
          </w:tcPr>
          <w:p>
            <w:pPr>
              <w:rPr>
                <w:rFonts w:ascii="仿宋_GB2312" w:hAnsi="Times New Roman" w:eastAsia="仿宋_GB2312" w:cs="Times New Roman"/>
                <w:szCs w:val="21"/>
              </w:rPr>
            </w:pPr>
            <w:r>
              <w:rPr>
                <w:rFonts w:hint="eastAsia" w:ascii="仿宋_GB2312" w:hAnsi="Times New Roman" w:eastAsia="仿宋_GB2312" w:cs="Times New Roman"/>
                <w:szCs w:val="21"/>
              </w:rPr>
              <w:t>＜80%</w:t>
            </w:r>
          </w:p>
        </w:tc>
      </w:tr>
    </w:tbl>
    <w:p>
      <w:pPr>
        <w:jc w:val="center"/>
        <w:outlineLvl w:val="0"/>
        <w:rPr>
          <w:rFonts w:ascii="方正小标宋_GBK" w:hAnsi="Times New Roman" w:eastAsia="方正小标宋_GBK" w:cs="Times New Roman"/>
          <w:sz w:val="32"/>
          <w:szCs w:val="24"/>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themeColor="text1"/>
          <w:sz w:val="32"/>
          <w:szCs w:val="32"/>
        </w:rPr>
      </w:pPr>
      <w:bookmarkStart w:id="2" w:name="_Toc471398468"/>
      <w:r>
        <w:rPr>
          <w:rFonts w:hint="eastAsia" w:ascii="仿宋_GB2312" w:hAnsi="Times New Roman" w:eastAsia="仿宋_GB2312" w:cs="Times New Roman"/>
          <w:color w:val="000000" w:themeColor="text1"/>
          <w:sz w:val="32"/>
          <w:szCs w:val="32"/>
        </w:rPr>
        <w:t>2019年，我部门安排政府采购预算1</w:t>
      </w:r>
      <w:r>
        <w:rPr>
          <w:rFonts w:ascii="仿宋_GB2312" w:hAnsi="Times New Roman" w:eastAsia="仿宋_GB2312" w:cs="Times New Roman"/>
          <w:color w:val="000000" w:themeColor="text1"/>
          <w:sz w:val="32"/>
          <w:szCs w:val="32"/>
        </w:rPr>
        <w:t>13.57</w:t>
      </w:r>
      <w:r>
        <w:rPr>
          <w:rFonts w:hint="eastAsia" w:ascii="仿宋_GB2312" w:hAnsi="Times New Roman" w:eastAsia="仿宋_GB2312" w:cs="Times New Roman"/>
          <w:color w:val="000000" w:themeColor="text1"/>
          <w:sz w:val="32"/>
          <w:szCs w:val="32"/>
        </w:rPr>
        <w:t>万元。具体内容见下表。</w:t>
      </w:r>
    </w:p>
    <w:p>
      <w:pPr>
        <w:jc w:val="center"/>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2"/>
    </w:p>
    <w:p>
      <w:pPr>
        <w:spacing w:line="300" w:lineRule="exact"/>
        <w:ind w:firstLine="105" w:firstLineChars="50"/>
        <w:rPr>
          <w:rFonts w:ascii="仿宋_GB2312" w:hAnsi="Times New Roman" w:eastAsia="仿宋_GB2312" w:cs="Times New Roman"/>
          <w:szCs w:val="21"/>
        </w:rPr>
      </w:pPr>
      <w:r>
        <w:rPr>
          <w:rFonts w:hint="eastAsia" w:ascii="仿宋_GB2312" w:hAnsi="Times New Roman" w:eastAsia="仿宋_GB2312" w:cs="Times New Roman"/>
          <w:szCs w:val="21"/>
        </w:rPr>
        <w:t>9</w:t>
      </w:r>
      <w:r>
        <w:rPr>
          <w:rFonts w:ascii="仿宋_GB2312" w:hAnsi="Times New Roman" w:eastAsia="仿宋_GB2312" w:cs="Times New Roman"/>
          <w:szCs w:val="21"/>
        </w:rPr>
        <w:t>54</w:t>
      </w:r>
      <w:r>
        <w:rPr>
          <w:rFonts w:hint="eastAsia" w:ascii="仿宋_GB2312" w:hAnsi="Times New Roman" w:eastAsia="仿宋_GB2312" w:cs="Times New Roman"/>
          <w:szCs w:val="21"/>
        </w:rPr>
        <w:t>霸州市</w:t>
      </w:r>
      <w:r>
        <w:rPr>
          <w:rFonts w:ascii="仿宋_GB2312" w:hAnsi="Times New Roman" w:eastAsia="仿宋_GB2312" w:cs="Times New Roman"/>
          <w:szCs w:val="21"/>
        </w:rPr>
        <w:t>南孟镇人民政府</w:t>
      </w:r>
      <w:r>
        <w:rPr>
          <w:rFonts w:hint="eastAsia" w:ascii="仿宋_GB2312" w:hAnsi="Times New Roman" w:eastAsia="仿宋_GB2312" w:cs="Times New Roman"/>
          <w:szCs w:val="21"/>
        </w:rPr>
        <w:t xml:space="preserve">  </w:t>
      </w:r>
      <w:r>
        <w:rPr>
          <w:rFonts w:hint="eastAsia" w:ascii="方正小标宋_GBK" w:hAnsi="Times New Roman" w:eastAsia="方正小标宋_GBK" w:cs="Times New Roman"/>
          <w:sz w:val="18"/>
          <w:szCs w:val="18"/>
        </w:rPr>
        <w:t xml:space="preserve">                                                                                                              </w:t>
      </w:r>
      <w:r>
        <w:rPr>
          <w:rFonts w:hint="eastAsia" w:ascii="仿宋_GB2312" w:hAnsi="Times New Roman" w:eastAsia="仿宋_GB2312" w:cs="Times New Roman"/>
          <w:szCs w:val="21"/>
        </w:rPr>
        <w:t xml:space="preserve"> 单位：万元</w:t>
      </w:r>
    </w:p>
    <w:tbl>
      <w:tblPr>
        <w:tblStyle w:val="7"/>
        <w:tblW w:w="13752"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6"/>
        <w:gridCol w:w="1032"/>
        <w:gridCol w:w="914"/>
        <w:gridCol w:w="925"/>
        <w:gridCol w:w="712"/>
        <w:gridCol w:w="712"/>
        <w:gridCol w:w="795"/>
        <w:gridCol w:w="924"/>
        <w:gridCol w:w="924"/>
        <w:gridCol w:w="924"/>
        <w:gridCol w:w="905"/>
        <w:gridCol w:w="905"/>
        <w:gridCol w:w="905"/>
        <w:gridCol w:w="8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338"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政府采购项目来源</w:t>
            </w:r>
          </w:p>
        </w:tc>
        <w:tc>
          <w:tcPr>
            <w:tcW w:w="91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采购物品名称</w:t>
            </w:r>
          </w:p>
        </w:tc>
        <w:tc>
          <w:tcPr>
            <w:tcW w:w="92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政府采购目录序号</w:t>
            </w:r>
          </w:p>
        </w:tc>
        <w:tc>
          <w:tcPr>
            <w:tcW w:w="71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数量  单位</w:t>
            </w:r>
          </w:p>
        </w:tc>
        <w:tc>
          <w:tcPr>
            <w:tcW w:w="71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数量</w:t>
            </w:r>
          </w:p>
        </w:tc>
        <w:tc>
          <w:tcPr>
            <w:tcW w:w="795"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单价</w:t>
            </w:r>
          </w:p>
        </w:tc>
        <w:tc>
          <w:tcPr>
            <w:tcW w:w="6356"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0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项目名称</w:t>
            </w:r>
          </w:p>
        </w:tc>
        <w:tc>
          <w:tcPr>
            <w:tcW w:w="103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预算资金</w:t>
            </w:r>
          </w:p>
        </w:tc>
        <w:tc>
          <w:tcPr>
            <w:tcW w:w="9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9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7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7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7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92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总计</w:t>
            </w:r>
          </w:p>
        </w:tc>
        <w:tc>
          <w:tcPr>
            <w:tcW w:w="4563"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当年部门预算安排资金</w:t>
            </w:r>
          </w:p>
        </w:tc>
        <w:tc>
          <w:tcPr>
            <w:tcW w:w="86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06"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103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91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92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7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712"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795"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924"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合计</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一般公共预算拨款</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基金预算拨款</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财政专户核拨</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其他来源收入</w:t>
            </w:r>
          </w:p>
        </w:tc>
        <w:tc>
          <w:tcPr>
            <w:tcW w:w="869" w:type="dxa"/>
            <w:vMerge w:val="continue"/>
            <w:tcBorders>
              <w:top w:val="single" w:color="000000" w:sz="6" w:space="0"/>
              <w:left w:val="single" w:color="000000" w:sz="6" w:space="0"/>
              <w:bottom w:val="single" w:color="000000" w:sz="6" w:space="0"/>
              <w:right w:val="single" w:color="000000" w:sz="6" w:space="0"/>
            </w:tcBorders>
            <w:vAlign w:val="center"/>
          </w:tcPr>
          <w:p>
            <w:pPr>
              <w:widowControl/>
              <w:jc w:val="lef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合　计</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113.57</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113.57</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113.57</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_GB2312" w:hAnsi="Times New Roman" w:eastAsia="仿宋_GB2312" w:cs="Times New Roman"/>
                <w:szCs w:val="21"/>
              </w:rPr>
            </w:pPr>
            <w:r>
              <w:rPr>
                <w:rFonts w:hint="eastAsia" w:ascii="仿宋_GB2312" w:hAnsi="Times New Roman" w:eastAsia="仿宋_GB2312" w:cs="Times New Roman"/>
                <w:szCs w:val="21"/>
              </w:rPr>
              <w:t>霸州市南孟镇人民政府小计</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113.57</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113.57</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113.57</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购置综合执法中队服装专项资金</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7.46</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货物</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7.46</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7.46</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7.46</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7.46</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关于提前下达2019年省级三馆一站免费开放专项资金的通知（冀财教[2018]135号）</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0.38</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货物</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0.07</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0.07</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0.07</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0.07</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文化站免费开放县级资金</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2.13</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货物</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2.13</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2.13</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2.13</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2.13</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大气污染防治工作经费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39.91</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货物</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15.91</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15.91</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15.91</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15.91</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大气污染防治工作经费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39.91</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货物</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14.00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14.00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14.00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14.00</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大气污染防治工作经费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39.91</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服务</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C</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10.00</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违建拆除工作经费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服务</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C</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环境卫生治理工作经费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53.00</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货物</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A</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环境卫生治理工作经费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53.00</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服务</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C</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48.00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48.00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48.00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48.00</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信访维稳工作经费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28.55</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服务</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C</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5.00</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0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信访维稳工作经费</w:t>
            </w:r>
          </w:p>
        </w:tc>
        <w:tc>
          <w:tcPr>
            <w:tcW w:w="103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28.55</w:t>
            </w:r>
          </w:p>
        </w:tc>
        <w:tc>
          <w:tcPr>
            <w:tcW w:w="9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服务</w:t>
            </w:r>
          </w:p>
        </w:tc>
        <w:tc>
          <w:tcPr>
            <w:tcW w:w="92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r>
              <w:rPr>
                <w:rFonts w:hint="eastAsia" w:ascii="仿宋_GB2312" w:hAnsi="Times New Roman" w:eastAsia="仿宋_GB2312" w:cs="Times New Roman"/>
                <w:szCs w:val="21"/>
              </w:rPr>
              <w:t>C</w:t>
            </w: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仿宋_GB2312" w:hAnsi="Times New Roman" w:eastAsia="仿宋_GB2312" w:cs="Times New Roman"/>
                <w:szCs w:val="21"/>
              </w:rPr>
            </w:pPr>
          </w:p>
        </w:tc>
        <w:tc>
          <w:tcPr>
            <w:tcW w:w="7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1.00</w:t>
            </w:r>
          </w:p>
        </w:tc>
        <w:tc>
          <w:tcPr>
            <w:tcW w:w="79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2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r>
              <w:rPr>
                <w:rFonts w:hint="eastAsia" w:ascii="仿宋_GB2312" w:hAnsi="Times New Roman" w:eastAsia="仿宋_GB2312" w:cs="Times New Roman"/>
                <w:szCs w:val="21"/>
              </w:rPr>
              <w:t>3.00</w:t>
            </w: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90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c>
          <w:tcPr>
            <w:tcW w:w="86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仿宋_GB2312" w:hAnsi="Times New Roman" w:eastAsia="仿宋_GB2312" w:cs="Times New Roman"/>
                <w:szCs w:val="21"/>
              </w:rPr>
            </w:pPr>
          </w:p>
        </w:tc>
      </w:tr>
    </w:tbl>
    <w:p>
      <w:pPr>
        <w:jc w:val="center"/>
        <w:outlineLvl w:val="0"/>
        <w:rPr>
          <w:rFonts w:ascii="方正小标宋_GBK" w:hAnsi="Times New Roman" w:eastAsia="方正小标宋_GBK" w:cs="Times New Roman"/>
          <w:sz w:val="32"/>
          <w:szCs w:val="24"/>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霸州市南孟镇人民</w:t>
      </w:r>
      <w:r>
        <w:rPr>
          <w:rFonts w:ascii="仿宋_GB2312" w:hAnsi="黑体" w:eastAsia="仿宋_GB2312" w:cs="Times New Roman"/>
          <w:sz w:val="32"/>
          <w:szCs w:val="32"/>
        </w:rPr>
        <w:t>政府</w:t>
      </w:r>
      <w:r>
        <w:rPr>
          <w:rFonts w:hint="eastAsia" w:ascii="仿宋_GB2312" w:hAnsi="黑体" w:eastAsia="仿宋_GB2312" w:cs="Times New Roman"/>
          <w:sz w:val="32"/>
          <w:szCs w:val="32"/>
        </w:rPr>
        <w:t>上年末固定资产金额为405.53万元（详见下表）</w:t>
      </w:r>
      <w:r>
        <w:rPr>
          <w:rFonts w:hint="eastAsia" w:ascii="仿宋_GB2312" w:hAnsi="黑体" w:eastAsia="仿宋_GB2312" w:cs="Times New Roman"/>
          <w:color w:val="000000" w:themeColor="text1"/>
          <w:sz w:val="32"/>
          <w:szCs w:val="32"/>
        </w:rPr>
        <w:t>。</w:t>
      </w:r>
      <w:r>
        <w:rPr>
          <w:rFonts w:ascii="仿宋_GB2312" w:hAnsi="黑体" w:eastAsia="仿宋_GB2312" w:cs="Times New Roman"/>
          <w:color w:val="000000" w:themeColor="text1"/>
          <w:sz w:val="32"/>
          <w:szCs w:val="32"/>
        </w:rPr>
        <w:t>2019</w:t>
      </w:r>
      <w:r>
        <w:rPr>
          <w:rFonts w:hint="eastAsia" w:ascii="仿宋_GB2312" w:hAnsi="黑体" w:eastAsia="仿宋_GB2312" w:cs="Times New Roman"/>
          <w:color w:val="000000" w:themeColor="text1"/>
          <w:sz w:val="32"/>
          <w:szCs w:val="32"/>
        </w:rPr>
        <w:t>年</w:t>
      </w:r>
      <w:r>
        <w:rPr>
          <w:rFonts w:ascii="仿宋_GB2312" w:hAnsi="黑体" w:eastAsia="仿宋_GB2312" w:cs="Times New Roman"/>
          <w:color w:val="000000" w:themeColor="text1"/>
          <w:sz w:val="32"/>
          <w:szCs w:val="32"/>
        </w:rPr>
        <w:t>，我部门无新增固定资产计划</w:t>
      </w:r>
      <w:r>
        <w:rPr>
          <w:rFonts w:hint="eastAsia" w:ascii="仿宋_GB2312" w:hAnsi="黑体" w:eastAsia="仿宋_GB2312" w:cs="Times New Roman"/>
          <w:color w:val="000000" w:themeColor="text1"/>
          <w:sz w:val="32"/>
          <w:szCs w:val="32"/>
        </w:rPr>
        <w:t>。</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霸州市南孟镇人民</w:t>
            </w:r>
            <w:r>
              <w:rPr>
                <w:rFonts w:ascii="宋体" w:hAnsi="宋体" w:eastAsia="宋体" w:cs="宋体"/>
                <w:b/>
                <w:bCs/>
                <w:kern w:val="0"/>
                <w:sz w:val="32"/>
                <w:szCs w:val="32"/>
              </w:rPr>
              <w:t>政府</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编制部门：9</w:t>
            </w:r>
            <w:r>
              <w:rPr>
                <w:rFonts w:ascii="宋体" w:hAnsi="宋体" w:eastAsia="宋体" w:cs="宋体"/>
                <w:kern w:val="0"/>
                <w:sz w:val="22"/>
              </w:rPr>
              <w:t>54</w:t>
            </w:r>
            <w:r>
              <w:rPr>
                <w:rFonts w:hint="eastAsia" w:ascii="宋体" w:hAnsi="宋体" w:eastAsia="宋体" w:cs="宋体"/>
                <w:kern w:val="0"/>
                <w:sz w:val="22"/>
              </w:rPr>
              <w:t>霸州市</w:t>
            </w:r>
            <w:r>
              <w:rPr>
                <w:rFonts w:ascii="宋体" w:hAnsi="宋体" w:eastAsia="宋体" w:cs="宋体"/>
                <w:kern w:val="0"/>
                <w:sz w:val="22"/>
              </w:rPr>
              <w:t>南孟镇人民政府</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 xml:space="preserve">截止时间：2018年12月31日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405.53</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184.05</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184.05</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53.42</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168.06</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4</w:t>
        </w:r>
        <w:r>
          <w:rPr>
            <w:sz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32"/>
    <w:rsid w:val="000009C0"/>
    <w:rsid w:val="0000145B"/>
    <w:rsid w:val="000027F2"/>
    <w:rsid w:val="00006416"/>
    <w:rsid w:val="00012028"/>
    <w:rsid w:val="000130DD"/>
    <w:rsid w:val="00013734"/>
    <w:rsid w:val="0001689E"/>
    <w:rsid w:val="00017180"/>
    <w:rsid w:val="000218E9"/>
    <w:rsid w:val="00022786"/>
    <w:rsid w:val="00023314"/>
    <w:rsid w:val="0003121A"/>
    <w:rsid w:val="0003472C"/>
    <w:rsid w:val="00037AF6"/>
    <w:rsid w:val="00044DC9"/>
    <w:rsid w:val="00045A61"/>
    <w:rsid w:val="00054879"/>
    <w:rsid w:val="00055D09"/>
    <w:rsid w:val="0005699E"/>
    <w:rsid w:val="0006250F"/>
    <w:rsid w:val="000643A0"/>
    <w:rsid w:val="00067117"/>
    <w:rsid w:val="00075D5F"/>
    <w:rsid w:val="000806AF"/>
    <w:rsid w:val="00083592"/>
    <w:rsid w:val="00091662"/>
    <w:rsid w:val="000920C0"/>
    <w:rsid w:val="00095025"/>
    <w:rsid w:val="00096423"/>
    <w:rsid w:val="000972A4"/>
    <w:rsid w:val="000A5F35"/>
    <w:rsid w:val="000B3081"/>
    <w:rsid w:val="000B4837"/>
    <w:rsid w:val="000B6A65"/>
    <w:rsid w:val="000B70F7"/>
    <w:rsid w:val="000C2333"/>
    <w:rsid w:val="000C3A19"/>
    <w:rsid w:val="000D08C1"/>
    <w:rsid w:val="000D1089"/>
    <w:rsid w:val="000D740D"/>
    <w:rsid w:val="000E08FE"/>
    <w:rsid w:val="000E0A41"/>
    <w:rsid w:val="000E7DB7"/>
    <w:rsid w:val="000F0279"/>
    <w:rsid w:val="0010082C"/>
    <w:rsid w:val="00111EFF"/>
    <w:rsid w:val="001132BF"/>
    <w:rsid w:val="001174B3"/>
    <w:rsid w:val="001205C5"/>
    <w:rsid w:val="00122CA5"/>
    <w:rsid w:val="001245BB"/>
    <w:rsid w:val="00126262"/>
    <w:rsid w:val="001353FD"/>
    <w:rsid w:val="001433DA"/>
    <w:rsid w:val="00145759"/>
    <w:rsid w:val="00152A3B"/>
    <w:rsid w:val="00154FF6"/>
    <w:rsid w:val="0015579B"/>
    <w:rsid w:val="00156150"/>
    <w:rsid w:val="001574A5"/>
    <w:rsid w:val="00162841"/>
    <w:rsid w:val="00165677"/>
    <w:rsid w:val="00170039"/>
    <w:rsid w:val="00173ADD"/>
    <w:rsid w:val="00182438"/>
    <w:rsid w:val="0018479D"/>
    <w:rsid w:val="00184A96"/>
    <w:rsid w:val="001901C9"/>
    <w:rsid w:val="0019095B"/>
    <w:rsid w:val="00194FDE"/>
    <w:rsid w:val="001962EB"/>
    <w:rsid w:val="001A210E"/>
    <w:rsid w:val="001A69C1"/>
    <w:rsid w:val="001C0A14"/>
    <w:rsid w:val="001C1C6C"/>
    <w:rsid w:val="001D53B8"/>
    <w:rsid w:val="001D748A"/>
    <w:rsid w:val="001D7844"/>
    <w:rsid w:val="001E124C"/>
    <w:rsid w:val="001E5626"/>
    <w:rsid w:val="001E61DC"/>
    <w:rsid w:val="001E6E68"/>
    <w:rsid w:val="001F2143"/>
    <w:rsid w:val="00204C18"/>
    <w:rsid w:val="00224AB9"/>
    <w:rsid w:val="00225DD0"/>
    <w:rsid w:val="00226AF2"/>
    <w:rsid w:val="00226C9F"/>
    <w:rsid w:val="002300D5"/>
    <w:rsid w:val="00236A9E"/>
    <w:rsid w:val="00241FD4"/>
    <w:rsid w:val="00247E02"/>
    <w:rsid w:val="00250623"/>
    <w:rsid w:val="00251B12"/>
    <w:rsid w:val="002543BE"/>
    <w:rsid w:val="00260DBD"/>
    <w:rsid w:val="00263C11"/>
    <w:rsid w:val="002645FB"/>
    <w:rsid w:val="00265944"/>
    <w:rsid w:val="00271004"/>
    <w:rsid w:val="00277483"/>
    <w:rsid w:val="00287575"/>
    <w:rsid w:val="00287688"/>
    <w:rsid w:val="002902DA"/>
    <w:rsid w:val="002935FC"/>
    <w:rsid w:val="00296113"/>
    <w:rsid w:val="00296AE7"/>
    <w:rsid w:val="002A182C"/>
    <w:rsid w:val="002A215D"/>
    <w:rsid w:val="002B41F7"/>
    <w:rsid w:val="002B6ADE"/>
    <w:rsid w:val="002E0A4A"/>
    <w:rsid w:val="002E5A52"/>
    <w:rsid w:val="002E62D8"/>
    <w:rsid w:val="002F3E58"/>
    <w:rsid w:val="002F5A42"/>
    <w:rsid w:val="002F716D"/>
    <w:rsid w:val="0030542C"/>
    <w:rsid w:val="00311628"/>
    <w:rsid w:val="00311B7A"/>
    <w:rsid w:val="00312D79"/>
    <w:rsid w:val="00315445"/>
    <w:rsid w:val="00315793"/>
    <w:rsid w:val="00325273"/>
    <w:rsid w:val="003438CA"/>
    <w:rsid w:val="003473B0"/>
    <w:rsid w:val="00351B07"/>
    <w:rsid w:val="0036269C"/>
    <w:rsid w:val="00376D9F"/>
    <w:rsid w:val="00382C33"/>
    <w:rsid w:val="00393587"/>
    <w:rsid w:val="00394C32"/>
    <w:rsid w:val="003A05EE"/>
    <w:rsid w:val="003A31CF"/>
    <w:rsid w:val="003A5AF8"/>
    <w:rsid w:val="003A5BCF"/>
    <w:rsid w:val="003A6E7C"/>
    <w:rsid w:val="003B1DC1"/>
    <w:rsid w:val="003C0810"/>
    <w:rsid w:val="003C37E2"/>
    <w:rsid w:val="003C3A51"/>
    <w:rsid w:val="003C7707"/>
    <w:rsid w:val="003E12AC"/>
    <w:rsid w:val="003E1A7F"/>
    <w:rsid w:val="003E1D99"/>
    <w:rsid w:val="003E52B7"/>
    <w:rsid w:val="003F0673"/>
    <w:rsid w:val="003F3B91"/>
    <w:rsid w:val="003F3F99"/>
    <w:rsid w:val="003F41F9"/>
    <w:rsid w:val="00406E23"/>
    <w:rsid w:val="00420E42"/>
    <w:rsid w:val="00421F9B"/>
    <w:rsid w:val="0042393E"/>
    <w:rsid w:val="004333E7"/>
    <w:rsid w:val="00433D7D"/>
    <w:rsid w:val="00435FCA"/>
    <w:rsid w:val="00436226"/>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285F"/>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55929"/>
    <w:rsid w:val="005616E1"/>
    <w:rsid w:val="00566F78"/>
    <w:rsid w:val="00570878"/>
    <w:rsid w:val="00573562"/>
    <w:rsid w:val="005750B9"/>
    <w:rsid w:val="005848A9"/>
    <w:rsid w:val="00590472"/>
    <w:rsid w:val="00590E1C"/>
    <w:rsid w:val="00590FF6"/>
    <w:rsid w:val="00595BF7"/>
    <w:rsid w:val="005A3931"/>
    <w:rsid w:val="005B343C"/>
    <w:rsid w:val="005B5208"/>
    <w:rsid w:val="005B7E89"/>
    <w:rsid w:val="005C0AF2"/>
    <w:rsid w:val="005C7894"/>
    <w:rsid w:val="005D02D2"/>
    <w:rsid w:val="005D0C18"/>
    <w:rsid w:val="005D24A7"/>
    <w:rsid w:val="005D2D04"/>
    <w:rsid w:val="005D5BCD"/>
    <w:rsid w:val="005D77B1"/>
    <w:rsid w:val="005E7EF0"/>
    <w:rsid w:val="005F0326"/>
    <w:rsid w:val="005F2D38"/>
    <w:rsid w:val="005F366F"/>
    <w:rsid w:val="005F41A5"/>
    <w:rsid w:val="005F6A9D"/>
    <w:rsid w:val="00600111"/>
    <w:rsid w:val="00607AAC"/>
    <w:rsid w:val="00614A29"/>
    <w:rsid w:val="00615335"/>
    <w:rsid w:val="006238E6"/>
    <w:rsid w:val="00632253"/>
    <w:rsid w:val="006327F1"/>
    <w:rsid w:val="006356FE"/>
    <w:rsid w:val="006373F4"/>
    <w:rsid w:val="0064344B"/>
    <w:rsid w:val="00644154"/>
    <w:rsid w:val="00644837"/>
    <w:rsid w:val="0065085D"/>
    <w:rsid w:val="0065409C"/>
    <w:rsid w:val="0066085F"/>
    <w:rsid w:val="00667064"/>
    <w:rsid w:val="00667568"/>
    <w:rsid w:val="006679BA"/>
    <w:rsid w:val="00675BF8"/>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06AE9"/>
    <w:rsid w:val="00712F2E"/>
    <w:rsid w:val="00717C22"/>
    <w:rsid w:val="00720FA5"/>
    <w:rsid w:val="007237EA"/>
    <w:rsid w:val="00737766"/>
    <w:rsid w:val="00740392"/>
    <w:rsid w:val="00747035"/>
    <w:rsid w:val="00747AD0"/>
    <w:rsid w:val="0075393C"/>
    <w:rsid w:val="0076407B"/>
    <w:rsid w:val="007722EB"/>
    <w:rsid w:val="00776C08"/>
    <w:rsid w:val="00777E03"/>
    <w:rsid w:val="00793642"/>
    <w:rsid w:val="00793D9F"/>
    <w:rsid w:val="007A3193"/>
    <w:rsid w:val="007A5B7D"/>
    <w:rsid w:val="007B2DCF"/>
    <w:rsid w:val="007B4EE0"/>
    <w:rsid w:val="007B7089"/>
    <w:rsid w:val="007B7B6E"/>
    <w:rsid w:val="007C0BCB"/>
    <w:rsid w:val="007C2346"/>
    <w:rsid w:val="007C2902"/>
    <w:rsid w:val="007C4F30"/>
    <w:rsid w:val="007D0A59"/>
    <w:rsid w:val="007E1DA8"/>
    <w:rsid w:val="007E2C66"/>
    <w:rsid w:val="007E5C75"/>
    <w:rsid w:val="007F055D"/>
    <w:rsid w:val="007F087E"/>
    <w:rsid w:val="007F2C5A"/>
    <w:rsid w:val="007F6C26"/>
    <w:rsid w:val="00800A9B"/>
    <w:rsid w:val="0080105C"/>
    <w:rsid w:val="00801227"/>
    <w:rsid w:val="008035F7"/>
    <w:rsid w:val="008048F5"/>
    <w:rsid w:val="008050F5"/>
    <w:rsid w:val="008063EF"/>
    <w:rsid w:val="008129D1"/>
    <w:rsid w:val="008163B1"/>
    <w:rsid w:val="008219B1"/>
    <w:rsid w:val="0083053C"/>
    <w:rsid w:val="0083111A"/>
    <w:rsid w:val="008334AE"/>
    <w:rsid w:val="00836FED"/>
    <w:rsid w:val="00837A6E"/>
    <w:rsid w:val="0084233A"/>
    <w:rsid w:val="008427B0"/>
    <w:rsid w:val="00845CD2"/>
    <w:rsid w:val="008502D8"/>
    <w:rsid w:val="00851709"/>
    <w:rsid w:val="00852A6D"/>
    <w:rsid w:val="00852B0D"/>
    <w:rsid w:val="00852C1D"/>
    <w:rsid w:val="00860266"/>
    <w:rsid w:val="008641DF"/>
    <w:rsid w:val="00871D75"/>
    <w:rsid w:val="00880CDD"/>
    <w:rsid w:val="00881692"/>
    <w:rsid w:val="00883968"/>
    <w:rsid w:val="00890435"/>
    <w:rsid w:val="00890E54"/>
    <w:rsid w:val="008948AC"/>
    <w:rsid w:val="008A128A"/>
    <w:rsid w:val="008A14FF"/>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44FD1"/>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0B67"/>
    <w:rsid w:val="009D439C"/>
    <w:rsid w:val="009E0EEF"/>
    <w:rsid w:val="009F225E"/>
    <w:rsid w:val="009F7FFC"/>
    <w:rsid w:val="00A003B8"/>
    <w:rsid w:val="00A00F54"/>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8726B"/>
    <w:rsid w:val="00A90F6E"/>
    <w:rsid w:val="00A911E7"/>
    <w:rsid w:val="00A939D9"/>
    <w:rsid w:val="00AA1E38"/>
    <w:rsid w:val="00AA1F69"/>
    <w:rsid w:val="00AA4712"/>
    <w:rsid w:val="00AA7C3B"/>
    <w:rsid w:val="00AB1409"/>
    <w:rsid w:val="00AC22CC"/>
    <w:rsid w:val="00AC38EE"/>
    <w:rsid w:val="00AC583F"/>
    <w:rsid w:val="00AC63B4"/>
    <w:rsid w:val="00AC69D5"/>
    <w:rsid w:val="00AD554C"/>
    <w:rsid w:val="00AE2346"/>
    <w:rsid w:val="00AE385D"/>
    <w:rsid w:val="00AF0327"/>
    <w:rsid w:val="00AF2542"/>
    <w:rsid w:val="00B02709"/>
    <w:rsid w:val="00B057BD"/>
    <w:rsid w:val="00B136B8"/>
    <w:rsid w:val="00B17ADA"/>
    <w:rsid w:val="00B20712"/>
    <w:rsid w:val="00B20DA5"/>
    <w:rsid w:val="00B218B0"/>
    <w:rsid w:val="00B22729"/>
    <w:rsid w:val="00B22A6B"/>
    <w:rsid w:val="00B235AA"/>
    <w:rsid w:val="00B2755C"/>
    <w:rsid w:val="00B27A34"/>
    <w:rsid w:val="00B43238"/>
    <w:rsid w:val="00B63510"/>
    <w:rsid w:val="00B66668"/>
    <w:rsid w:val="00B739CF"/>
    <w:rsid w:val="00B74DF2"/>
    <w:rsid w:val="00B75216"/>
    <w:rsid w:val="00B80AA4"/>
    <w:rsid w:val="00B820B4"/>
    <w:rsid w:val="00B91D52"/>
    <w:rsid w:val="00B9281E"/>
    <w:rsid w:val="00B93A8B"/>
    <w:rsid w:val="00BA1ACD"/>
    <w:rsid w:val="00BB19D5"/>
    <w:rsid w:val="00BC64D2"/>
    <w:rsid w:val="00BC681B"/>
    <w:rsid w:val="00BC7D9A"/>
    <w:rsid w:val="00BD16FC"/>
    <w:rsid w:val="00BD3858"/>
    <w:rsid w:val="00BD390C"/>
    <w:rsid w:val="00BD4A29"/>
    <w:rsid w:val="00BE083B"/>
    <w:rsid w:val="00BE4858"/>
    <w:rsid w:val="00BF21EE"/>
    <w:rsid w:val="00BF7510"/>
    <w:rsid w:val="00C0018A"/>
    <w:rsid w:val="00C01825"/>
    <w:rsid w:val="00C209D8"/>
    <w:rsid w:val="00C25CD1"/>
    <w:rsid w:val="00C266EE"/>
    <w:rsid w:val="00C35022"/>
    <w:rsid w:val="00C52E58"/>
    <w:rsid w:val="00C54643"/>
    <w:rsid w:val="00C549FA"/>
    <w:rsid w:val="00C54CE5"/>
    <w:rsid w:val="00C55CEC"/>
    <w:rsid w:val="00C6404D"/>
    <w:rsid w:val="00C711B8"/>
    <w:rsid w:val="00C8097C"/>
    <w:rsid w:val="00C83464"/>
    <w:rsid w:val="00C853CD"/>
    <w:rsid w:val="00C87170"/>
    <w:rsid w:val="00C87AE9"/>
    <w:rsid w:val="00C92AC7"/>
    <w:rsid w:val="00C92E09"/>
    <w:rsid w:val="00C972AB"/>
    <w:rsid w:val="00CA054E"/>
    <w:rsid w:val="00CA7176"/>
    <w:rsid w:val="00CA7C24"/>
    <w:rsid w:val="00CB0C67"/>
    <w:rsid w:val="00CB61AC"/>
    <w:rsid w:val="00CD0702"/>
    <w:rsid w:val="00CD1590"/>
    <w:rsid w:val="00CD2773"/>
    <w:rsid w:val="00CE0CDC"/>
    <w:rsid w:val="00CE143B"/>
    <w:rsid w:val="00CE2392"/>
    <w:rsid w:val="00CE46B6"/>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A83"/>
    <w:rsid w:val="00D63054"/>
    <w:rsid w:val="00D71ECE"/>
    <w:rsid w:val="00D75B58"/>
    <w:rsid w:val="00D85F65"/>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DF52B1"/>
    <w:rsid w:val="00E001AA"/>
    <w:rsid w:val="00E07991"/>
    <w:rsid w:val="00E13B84"/>
    <w:rsid w:val="00E167C7"/>
    <w:rsid w:val="00E24028"/>
    <w:rsid w:val="00E31CED"/>
    <w:rsid w:val="00E36C7E"/>
    <w:rsid w:val="00E37F21"/>
    <w:rsid w:val="00E402EF"/>
    <w:rsid w:val="00E5286F"/>
    <w:rsid w:val="00E65124"/>
    <w:rsid w:val="00E65F05"/>
    <w:rsid w:val="00E72CEF"/>
    <w:rsid w:val="00E76778"/>
    <w:rsid w:val="00E768A4"/>
    <w:rsid w:val="00E832CC"/>
    <w:rsid w:val="00E85BC1"/>
    <w:rsid w:val="00E91137"/>
    <w:rsid w:val="00E94C66"/>
    <w:rsid w:val="00E965B6"/>
    <w:rsid w:val="00E972B4"/>
    <w:rsid w:val="00E974D3"/>
    <w:rsid w:val="00EA3B67"/>
    <w:rsid w:val="00EA6007"/>
    <w:rsid w:val="00EA64ED"/>
    <w:rsid w:val="00EA7613"/>
    <w:rsid w:val="00EB7427"/>
    <w:rsid w:val="00EC0907"/>
    <w:rsid w:val="00EC47F6"/>
    <w:rsid w:val="00ED7F34"/>
    <w:rsid w:val="00EE1B43"/>
    <w:rsid w:val="00EF02FF"/>
    <w:rsid w:val="00EF1B99"/>
    <w:rsid w:val="00EF441B"/>
    <w:rsid w:val="00EF6E7B"/>
    <w:rsid w:val="00F05B79"/>
    <w:rsid w:val="00F153EF"/>
    <w:rsid w:val="00F24390"/>
    <w:rsid w:val="00F25998"/>
    <w:rsid w:val="00F32569"/>
    <w:rsid w:val="00F333FA"/>
    <w:rsid w:val="00F417E3"/>
    <w:rsid w:val="00F4182E"/>
    <w:rsid w:val="00F51920"/>
    <w:rsid w:val="00F5306C"/>
    <w:rsid w:val="00F54132"/>
    <w:rsid w:val="00F57F4F"/>
    <w:rsid w:val="00F62A67"/>
    <w:rsid w:val="00F631D6"/>
    <w:rsid w:val="00F645C4"/>
    <w:rsid w:val="00F66032"/>
    <w:rsid w:val="00F6694D"/>
    <w:rsid w:val="00F82AC6"/>
    <w:rsid w:val="00F86D57"/>
    <w:rsid w:val="00F958C2"/>
    <w:rsid w:val="00FA0C96"/>
    <w:rsid w:val="00FA44B3"/>
    <w:rsid w:val="00FA71CC"/>
    <w:rsid w:val="00FB64EF"/>
    <w:rsid w:val="00FB7C83"/>
    <w:rsid w:val="00FC462C"/>
    <w:rsid w:val="00FD52DC"/>
    <w:rsid w:val="00FD596F"/>
    <w:rsid w:val="00FD6519"/>
    <w:rsid w:val="00FE25D5"/>
    <w:rsid w:val="00FE2A35"/>
    <w:rsid w:val="00FE791B"/>
    <w:rsid w:val="00FF0EC6"/>
    <w:rsid w:val="00FF3F1E"/>
    <w:rsid w:val="00FF4B95"/>
    <w:rsid w:val="74536D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sdException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uiPriority w:val="0"/>
    <w:rPr>
      <w:rFonts w:ascii="Times New Roman" w:hAnsi="Times New Roman" w:eastAsia="宋体" w:cs="Times New Roman"/>
      <w:szCs w:val="24"/>
    </w:rPr>
  </w:style>
  <w:style w:type="paragraph" w:styleId="6">
    <w:name w:val="toc 2"/>
    <w:basedOn w:val="1"/>
    <w:next w:val="1"/>
    <w:uiPriority w:val="0"/>
    <w:pPr>
      <w:ind w:left="420" w:leftChars="200"/>
    </w:pPr>
    <w:rPr>
      <w:rFonts w:ascii="Times New Roman" w:hAnsi="Times New Roman" w:eastAsia="宋体" w:cs="Times New Roman"/>
      <w:szCs w:val="24"/>
    </w:rPr>
  </w:style>
  <w:style w:type="character" w:customStyle="1" w:styleId="9">
    <w:name w:val="页眉 Char"/>
    <w:basedOn w:val="8"/>
    <w:link w:val="4"/>
    <w:qFormat/>
    <w:uiPriority w:val="0"/>
    <w:rPr>
      <w:rFonts w:ascii="Times New Roman" w:hAnsi="Times New Roman" w:eastAsia="宋体" w:cs="Times New Roman"/>
      <w:sz w:val="18"/>
      <w:szCs w:val="18"/>
    </w:rPr>
  </w:style>
  <w:style w:type="character" w:customStyle="1" w:styleId="10">
    <w:name w:val="页脚 Char"/>
    <w:basedOn w:val="8"/>
    <w:link w:val="3"/>
    <w:uiPriority w:val="99"/>
    <w:rPr>
      <w:rFonts w:ascii="Times New Roman" w:hAnsi="Times New Roman" w:eastAsia="宋体" w:cs="Times New Roman"/>
      <w:sz w:val="18"/>
      <w:szCs w:val="18"/>
    </w:rPr>
  </w:style>
  <w:style w:type="character" w:customStyle="1" w:styleId="11">
    <w:name w:val="批注框文本 Char"/>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uiPriority w:val="0"/>
    <w:rPr>
      <w:rFonts w:ascii="Tahoma" w:hAnsi="Tahoma" w:eastAsia="宋体" w:cs="Times New Roman"/>
      <w:sz w:val="24"/>
      <w:szCs w:val="24"/>
    </w:rPr>
  </w:style>
  <w:style w:type="paragraph" w:customStyle="1" w:styleId="14">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F61C0F-5C31-461A-8FAE-8125159331AB}">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1165</Words>
  <Characters>6644</Characters>
  <Lines>55</Lines>
  <Paragraphs>15</Paragraphs>
  <TotalTime>788</TotalTime>
  <ScaleCrop>false</ScaleCrop>
  <LinksUpToDate>false</LinksUpToDate>
  <CharactersWithSpaces>7794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2019-02-21T01:35:00Z</cp:lastPrinted>
  <dcterms:modified xsi:type="dcterms:W3CDTF">2024-01-09T02:15:57Z</dcterms:modified>
  <cp:revision>1462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